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 муниципального служащего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Шубиной Светланы Вячеславовны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</w:t>
      </w: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Default="0073124A" w:rsidP="0073124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Шубина Светлана Вячеславовна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Шубин Алексей Викторович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(доля в праве 1/5)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дом(доля в праве 1/5)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1183,0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47,5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Шубина Евгения Алексеевна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4549A0" w:rsidRDefault="004549A0"/>
    <w:p w:rsidR="0073124A" w:rsidRDefault="0073124A"/>
    <w:p w:rsidR="0073124A" w:rsidRDefault="0073124A"/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 муниципального служащего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Леонова Андрея Васильевича,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Залегощенского районного Совета народных депутатов Орловской области, 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Орловской области, Председателя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Орловской области,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поселения Залегощенского  района Орловской области,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E53BA0">
        <w:rPr>
          <w:rFonts w:ascii="Times New Roman" w:hAnsi="Times New Roman" w:cs="Times New Roman"/>
          <w:sz w:val="22"/>
          <w:szCs w:val="22"/>
        </w:rPr>
        <w:t xml:space="preserve"> администрации Октябрьского сельского поселения Залегощенского района Орловской области</w:t>
      </w:r>
      <w:r w:rsidRPr="005B4D7A">
        <w:rPr>
          <w:rFonts w:ascii="Times New Roman" w:hAnsi="Times New Roman" w:cs="Times New Roman"/>
          <w:sz w:val="22"/>
          <w:szCs w:val="22"/>
        </w:rPr>
        <w:t>,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Леонов Андрей Васильевич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77970,12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Автомобиль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E53BA0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RENAULT</w:t>
            </w:r>
          </w:p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E53BA0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SR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,2010г.</w:t>
            </w:r>
          </w:p>
        </w:tc>
        <w:tc>
          <w:tcPr>
            <w:tcW w:w="1596" w:type="dxa"/>
            <w:shd w:val="clear" w:color="auto" w:fill="auto"/>
          </w:tcPr>
          <w:p w:rsidR="0073124A" w:rsidRPr="00D50258" w:rsidRDefault="0073124A" w:rsidP="00301CF2">
            <w: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D50258" w:rsidRDefault="0073124A" w:rsidP="00301CF2">
            <w: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Леонова Любовь Анатольевна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shd w:val="clear" w:color="auto" w:fill="auto"/>
          </w:tcPr>
          <w:p w:rsidR="0073124A" w:rsidRPr="003D2138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73124A" w:rsidRDefault="0073124A"/>
    <w:p w:rsidR="0073124A" w:rsidRDefault="0073124A"/>
    <w:p w:rsidR="0073124A" w:rsidRDefault="0073124A"/>
    <w:p w:rsidR="0073124A" w:rsidRDefault="0073124A"/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Петрухина Алексея Сергеевича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Pr="00C40C46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Петрухин Алексей Сергеевич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ВАЗ 2107,2008 г.в.</w:t>
            </w:r>
          </w:p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Трактор Т40 АМ,1986 г.в.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3500,00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38,7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Петрухина Светлана Оманжоновна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3500,00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38,7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Вещикова Игоря Петровича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Вещиков Игорь Петрович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4303,0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36,2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73124A" w:rsidRDefault="0073124A"/>
    <w:p w:rsidR="0073124A" w:rsidRDefault="0073124A"/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Абрамовой Светланы Юрьевны ,</w:t>
      </w:r>
      <w:r w:rsidRPr="00E53BA0">
        <w:t xml:space="preserve"> 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Залегощенского районного Совета народных депутатов Орловской области, 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Абрамова Светлана Юрьевна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682C82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634097,13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(доля в праве 1/3)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дом(доля в праве 1/3)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2335,5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1168,6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64,7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Абрамов Владимир Алексеевич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156512,00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(доля в праве 1/3)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дом(доля в праве 1/3)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2335,5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64,7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6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Игнатова Владимира Ивановича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autoSpaceDE w:val="0"/>
        <w:autoSpaceDN w:val="0"/>
        <w:adjustRightInd w:val="0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</w:t>
      </w:r>
      <w:r w:rsidRPr="0087422F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</w:p>
    <w:p w:rsidR="0073124A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929"/>
        <w:gridCol w:w="1681"/>
        <w:gridCol w:w="1033"/>
        <w:gridCol w:w="1556"/>
        <w:gridCol w:w="1533"/>
        <w:gridCol w:w="1596"/>
        <w:gridCol w:w="1041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254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3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254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1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1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254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Игнатов Владимир Иванович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1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15000,00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86,8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54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254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73124A" w:rsidRDefault="0073124A"/>
    <w:p w:rsidR="0073124A" w:rsidRDefault="0073124A"/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Радченко Натальи Борисовны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autoSpaceDE w:val="0"/>
        <w:autoSpaceDN w:val="0"/>
        <w:adjustRightInd w:val="0"/>
        <w:rPr>
          <w:sz w:val="22"/>
          <w:szCs w:val="22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</w:t>
      </w:r>
    </w:p>
    <w:p w:rsidR="0073124A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 w:rsidRPr="00826D86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929"/>
        <w:gridCol w:w="1663"/>
        <w:gridCol w:w="1033"/>
        <w:gridCol w:w="1556"/>
        <w:gridCol w:w="1750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063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2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063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0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0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Радченко Наталья Борисовна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52,4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0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Радченко Семен Николаевич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52,4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lastRenderedPageBreak/>
              <w:t xml:space="preserve">Рено </w:t>
            </w:r>
            <w:r w:rsidRPr="00A26E6F">
              <w:rPr>
                <w:sz w:val="22"/>
                <w:szCs w:val="22"/>
              </w:rPr>
              <w:t>SANDERO</w:t>
            </w:r>
            <w:r>
              <w:rPr>
                <w:sz w:val="22"/>
                <w:szCs w:val="22"/>
              </w:rPr>
              <w:t>,2013 г.в.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06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Радченко Николай Семенович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3124A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52,4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Фотина Сергея Алексеевича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autoSpaceDE w:val="0"/>
        <w:autoSpaceDN w:val="0"/>
        <w:adjustRightInd w:val="0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</w:t>
      </w:r>
      <w:r w:rsidRPr="00F25A7A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</w:p>
    <w:p w:rsidR="0073124A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929"/>
        <w:gridCol w:w="1660"/>
        <w:gridCol w:w="1033"/>
        <w:gridCol w:w="1556"/>
        <w:gridCol w:w="1740"/>
        <w:gridCol w:w="1596"/>
        <w:gridCol w:w="1033"/>
        <w:gridCol w:w="1556"/>
        <w:gridCol w:w="1731"/>
      </w:tblGrid>
      <w:tr w:rsidR="0073124A" w:rsidRPr="005B4D7A" w:rsidTr="0073124A">
        <w:trPr>
          <w:trHeight w:val="581"/>
        </w:trPr>
        <w:tc>
          <w:tcPr>
            <w:tcW w:w="2076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89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73124A">
        <w:trPr>
          <w:trHeight w:val="463"/>
        </w:trPr>
        <w:tc>
          <w:tcPr>
            <w:tcW w:w="2076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40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73124A">
        <w:trPr>
          <w:trHeight w:val="1278"/>
        </w:trPr>
        <w:tc>
          <w:tcPr>
            <w:tcW w:w="207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Фотин Сергей Алексеевич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(доля в праве 1/4)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(доля в праве 1/4)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4456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46,0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УАЗ 31514,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2001 г.в.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ТАГАЗ С-100,</w:t>
            </w:r>
          </w:p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2010 г.в.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73124A">
        <w:trPr>
          <w:trHeight w:val="1429"/>
        </w:trPr>
        <w:tc>
          <w:tcPr>
            <w:tcW w:w="207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Фотина Татьяна Викторовна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73124A" w:rsidRPr="000F1E9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4456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46,0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73124A">
        <w:trPr>
          <w:trHeight w:val="1429"/>
        </w:trPr>
        <w:tc>
          <w:tcPr>
            <w:tcW w:w="207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60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 w:rsidP="0073124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73124A" w:rsidRPr="005B4D7A" w:rsidRDefault="0073124A" w:rsidP="00731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Ермиловой Татьяны Викторовны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73124A" w:rsidRPr="009B5D9D" w:rsidRDefault="0073124A" w:rsidP="0073124A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929"/>
        <w:gridCol w:w="1663"/>
        <w:gridCol w:w="1033"/>
        <w:gridCol w:w="1556"/>
        <w:gridCol w:w="1750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2063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2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2063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0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20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Ермилова Татьяна Викторовна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57,2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0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Ермилов Юрий Николаевич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3124A" w:rsidRPr="00121F1D" w:rsidRDefault="0073124A" w:rsidP="00301CF2">
            <w:pPr>
              <w:pStyle w:val="a6"/>
              <w:rPr>
                <w:lang w:val="en-US"/>
              </w:rPr>
            </w:pPr>
            <w:r w:rsidRPr="00121F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ВАЗ</w:t>
            </w:r>
            <w:r w:rsidRPr="00121F1D">
              <w:rPr>
                <w:sz w:val="22"/>
                <w:szCs w:val="22"/>
                <w:lang w:val="en-US"/>
              </w:rPr>
              <w:t xml:space="preserve"> LADA GRANTA,2016 </w:t>
            </w:r>
            <w:r>
              <w:rPr>
                <w:sz w:val="22"/>
                <w:szCs w:val="22"/>
              </w:rPr>
              <w:t>г</w:t>
            </w:r>
            <w:r w:rsidRPr="00121F1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121F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57,2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06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 Артемий Юрьевич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3124A" w:rsidRPr="00121F1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57,2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206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 Сергей Юрьевич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3124A" w:rsidRPr="00121F1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5200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57,2</w:t>
            </w: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  <w:p w:rsidR="0073124A" w:rsidRPr="00CC2898" w:rsidRDefault="0073124A" w:rsidP="00301CF2">
            <w:pPr>
              <w:pStyle w:val="a6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</w:pPr>
          </w:p>
          <w:p w:rsidR="0073124A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124A" w:rsidRDefault="0073124A" w:rsidP="00301CF2">
            <w:pPr>
              <w:pStyle w:val="a6"/>
              <w:jc w:val="center"/>
            </w:pPr>
          </w:p>
          <w:p w:rsidR="0073124A" w:rsidRDefault="0073124A" w:rsidP="00301CF2">
            <w:pPr>
              <w:pStyle w:val="a6"/>
            </w:pPr>
          </w:p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 муниципального служащего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Ермиловой Юлии Игоревны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</w:t>
      </w:r>
    </w:p>
    <w:p w:rsidR="0073124A" w:rsidRDefault="0073124A" w:rsidP="0073124A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21</w:t>
      </w:r>
      <w:r w:rsidRPr="005B4D7A">
        <w:rPr>
          <w:sz w:val="22"/>
          <w:szCs w:val="22"/>
        </w:rPr>
        <w:t>г.</w:t>
      </w:r>
    </w:p>
    <w:p w:rsidR="0073124A" w:rsidRDefault="0073124A" w:rsidP="0073124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2021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73124A" w:rsidRPr="005B4D7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Pr="005B4D7A" w:rsidRDefault="0073124A" w:rsidP="007312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29"/>
        <w:gridCol w:w="1642"/>
        <w:gridCol w:w="1033"/>
        <w:gridCol w:w="1556"/>
        <w:gridCol w:w="1991"/>
        <w:gridCol w:w="1596"/>
        <w:gridCol w:w="1033"/>
        <w:gridCol w:w="1556"/>
        <w:gridCol w:w="1731"/>
      </w:tblGrid>
      <w:tr w:rsidR="0073124A" w:rsidRPr="005B4D7A" w:rsidTr="00301CF2">
        <w:trPr>
          <w:trHeight w:val="581"/>
        </w:trPr>
        <w:tc>
          <w:tcPr>
            <w:tcW w:w="1843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21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22" w:type="dxa"/>
            <w:gridSpan w:val="4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73124A" w:rsidRPr="005B4D7A" w:rsidTr="00301CF2">
        <w:trPr>
          <w:trHeight w:val="463"/>
        </w:trPr>
        <w:tc>
          <w:tcPr>
            <w:tcW w:w="1843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2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страна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91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73124A" w:rsidRPr="005B4D7A" w:rsidRDefault="0073124A" w:rsidP="00301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24A" w:rsidRPr="00CC2898" w:rsidTr="00301CF2">
        <w:trPr>
          <w:trHeight w:val="1278"/>
        </w:trPr>
        <w:tc>
          <w:tcPr>
            <w:tcW w:w="184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Ермилова Юлия Игоревна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  <w:shd w:val="clear" w:color="auto" w:fill="auto"/>
          </w:tcPr>
          <w:p w:rsidR="0073124A" w:rsidRPr="00EE4EBD" w:rsidRDefault="0073124A" w:rsidP="00301CF2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ХУНДАЙ </w:t>
            </w:r>
            <w:r w:rsidRPr="000451F8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ХЕНДЭ СОЛЯРИС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,2015 г.в.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1843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 Алексей Викторович</w:t>
            </w:r>
          </w:p>
        </w:tc>
        <w:tc>
          <w:tcPr>
            <w:tcW w:w="1929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  <w:shd w:val="clear" w:color="auto" w:fill="auto"/>
          </w:tcPr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21140,2004 г.в.</w:t>
            </w:r>
          </w:p>
          <w:p w:rsidR="0073124A" w:rsidRDefault="0073124A" w:rsidP="00301CF2">
            <w:pPr>
              <w:pStyle w:val="a6"/>
            </w:pPr>
            <w:r>
              <w:rPr>
                <w:sz w:val="22"/>
                <w:szCs w:val="22"/>
              </w:rPr>
              <w:t xml:space="preserve">Фольксваген </w:t>
            </w:r>
            <w:r w:rsidRPr="00D032F5">
              <w:rPr>
                <w:sz w:val="22"/>
                <w:szCs w:val="22"/>
              </w:rPr>
              <w:t>7HC CARAVELLE</w:t>
            </w:r>
            <w:r>
              <w:rPr>
                <w:sz w:val="22"/>
                <w:szCs w:val="22"/>
              </w:rPr>
              <w:t>,2017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УАЗ 315195</w:t>
            </w:r>
            <w:r>
              <w:rPr>
                <w:sz w:val="22"/>
                <w:szCs w:val="22"/>
              </w:rPr>
              <w:t>,2008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КАМАЗ 65115-62</w:t>
            </w:r>
            <w:r>
              <w:rPr>
                <w:sz w:val="22"/>
                <w:szCs w:val="22"/>
              </w:rPr>
              <w:t>,2008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СЗАП А349</w:t>
            </w:r>
            <w:r>
              <w:rPr>
                <w:sz w:val="22"/>
                <w:szCs w:val="22"/>
              </w:rPr>
              <w:t>,1990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КАМАЗ 55102С</w:t>
            </w:r>
            <w:r>
              <w:rPr>
                <w:sz w:val="22"/>
                <w:szCs w:val="22"/>
              </w:rPr>
              <w:t>,2004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МАЗ 6312А9-320-010</w:t>
            </w:r>
            <w:r>
              <w:rPr>
                <w:sz w:val="22"/>
                <w:szCs w:val="22"/>
              </w:rPr>
              <w:t>,2012 г.в.</w:t>
            </w:r>
          </w:p>
          <w:p w:rsidR="0073124A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СЗАП 83053</w:t>
            </w:r>
            <w:r>
              <w:rPr>
                <w:sz w:val="22"/>
                <w:szCs w:val="22"/>
              </w:rPr>
              <w:t>,2012 г.в.</w:t>
            </w:r>
          </w:p>
          <w:p w:rsidR="0073124A" w:rsidRPr="00D032F5" w:rsidRDefault="0073124A" w:rsidP="00301CF2">
            <w:pPr>
              <w:pStyle w:val="a6"/>
            </w:pPr>
            <w:r w:rsidRPr="00D032F5">
              <w:rPr>
                <w:sz w:val="22"/>
                <w:szCs w:val="22"/>
              </w:rPr>
              <w:t>СЗАП 83053</w:t>
            </w:r>
            <w:r>
              <w:rPr>
                <w:sz w:val="22"/>
                <w:szCs w:val="22"/>
              </w:rPr>
              <w:t>,2013 г.в.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184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 Максим Алексеевич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73124A" w:rsidRPr="00121F1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124A" w:rsidRPr="00CC2898" w:rsidTr="00301CF2">
        <w:trPr>
          <w:trHeight w:val="1429"/>
        </w:trPr>
        <w:tc>
          <w:tcPr>
            <w:tcW w:w="1843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Ермилова Варвара Алексеевна</w:t>
            </w:r>
          </w:p>
        </w:tc>
        <w:tc>
          <w:tcPr>
            <w:tcW w:w="1929" w:type="dxa"/>
            <w:shd w:val="clear" w:color="auto" w:fill="auto"/>
          </w:tcPr>
          <w:p w:rsidR="0073124A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73124A" w:rsidRPr="00121F1D" w:rsidRDefault="0073124A" w:rsidP="00301CF2">
            <w:pPr>
              <w:pStyle w:val="a6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73124A" w:rsidRPr="003D2138" w:rsidRDefault="0073124A" w:rsidP="00301C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73124A" w:rsidRPr="00CC2898" w:rsidRDefault="0073124A" w:rsidP="00301CF2">
            <w:pPr>
              <w:pStyle w:val="a6"/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73124A" w:rsidRPr="00CC2898" w:rsidRDefault="0073124A" w:rsidP="00301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sectPr w:rsidR="0073124A" w:rsidSect="00CC2898">
      <w:headerReference w:type="even" r:id="rId6"/>
      <w:headerReference w:type="default" r:id="rId7"/>
      <w:pgSz w:w="16838" w:h="11905" w:orient="landscape"/>
      <w:pgMar w:top="0" w:right="638" w:bottom="426" w:left="900" w:header="720" w:footer="720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6E" w:rsidRDefault="00FE096E" w:rsidP="008B303B">
      <w:r>
        <w:separator/>
      </w:r>
    </w:p>
  </w:endnote>
  <w:endnote w:type="continuationSeparator" w:id="0">
    <w:p w:rsidR="00FE096E" w:rsidRDefault="00FE096E" w:rsidP="008B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6E" w:rsidRDefault="00FE096E" w:rsidP="008B303B">
      <w:r>
        <w:separator/>
      </w:r>
    </w:p>
  </w:footnote>
  <w:footnote w:type="continuationSeparator" w:id="0">
    <w:p w:rsidR="00FE096E" w:rsidRDefault="00FE096E" w:rsidP="008B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9D" w:rsidRDefault="008B303B" w:rsidP="00406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1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E9D" w:rsidRDefault="00FE09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9D" w:rsidRPr="00437EC5" w:rsidRDefault="00FE096E" w:rsidP="00406A71">
    <w:pPr>
      <w:pStyle w:val="a3"/>
      <w:framePr w:wrap="around" w:vAnchor="text" w:hAnchor="margin" w:xAlign="center" w:y="1"/>
      <w:rPr>
        <w:rStyle w:val="a5"/>
        <w:lang w:val="en-US"/>
      </w:rPr>
    </w:pPr>
  </w:p>
  <w:p w:rsidR="000F1E9D" w:rsidRDefault="00FE09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24A"/>
    <w:rsid w:val="004549A0"/>
    <w:rsid w:val="00682C82"/>
    <w:rsid w:val="0073124A"/>
    <w:rsid w:val="008B303B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31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1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24A"/>
  </w:style>
  <w:style w:type="paragraph" w:customStyle="1" w:styleId="a6">
    <w:name w:val="Содержимое таблицы"/>
    <w:basedOn w:val="a"/>
    <w:rsid w:val="0073124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2576</Words>
  <Characters>14689</Characters>
  <Application>Microsoft Office Word</Application>
  <DocSecurity>0</DocSecurity>
  <Lines>122</Lines>
  <Paragraphs>34</Paragraphs>
  <ScaleCrop>false</ScaleCrop>
  <Company>Microsoft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2022-04-20T09:30:00Z</dcterms:created>
  <dcterms:modified xsi:type="dcterms:W3CDTF">2022-04-28T06:45:00Z</dcterms:modified>
</cp:coreProperties>
</file>